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Arial Black" w:hAnsi="Arial Black" w:cs="Arial Black" w:eastAsia="Arial Black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22"/>
          <w:shd w:fill="auto" w:val="clear"/>
        </w:rPr>
        <w:t xml:space="preserve">Long term Causes of Russian Revolution: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258"/>
        <w:gridCol w:w="5526"/>
        <w:gridCol w:w="4392"/>
      </w:tblGrid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 Black" w:hAnsi="Arial Black" w:cs="Arial Black" w:eastAsia="Arial Black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Long term Cause:</w:t>
            </w: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 Black" w:hAnsi="Arial Black" w:cs="Arial Black" w:eastAsia="Arial Black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Explanation</w:t>
            </w: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 Black" w:hAnsi="Arial Black" w:cs="Arial Black" w:eastAsia="Arial Black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Connection, comments, questions, connections…</w:t>
            </w: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Calendar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The Russian Govenrment had not updated tothe standard Calender at the time. This brought many problems to the peasants.</w:t>
            </w: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Big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Russia was to large to rule. </w:t>
            </w: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Backward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Was not industrializaed, badly made roads.</w:t>
            </w: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Disunited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Many disparate cultures lived in its borders</w:t>
            </w: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Autocracy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The Tsar had total control. The Russian people could do nothing about laws.</w:t>
            </w: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